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ОТЧЕТ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 РАБОТЕ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sz w:val="28"/>
          <w:szCs w:val="28"/>
        </w:rPr>
        <w:t>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 1 полугодии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Уважаемые  жители нашего поселения 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420" w:firstLineChars="0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Согласно Устава в состав Парамоновского сельского поселения входят 4 населенных пункта, в которых проживает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1812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В том  числе в х. Парамонове -735, в х. Старопетровском - 587, в ст. Чертковской-353, в х. Великанове- 137 . За первое полугодие 202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г. у нас родилось 4 ребенка , ушли из жизни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человек.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первом полугодии 2021г. выдано 102 различных справки,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поступило 7 письменных обращения граждан;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рамках исполнения Постановления правительства Ростовской области от 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>04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 272 «О мерах по обеспечению санитарно-эпидемиологического благополучия населения на территории Ростовской области в связи с распространением коронавирусной инфекции» ежедневно проводится мониторинг жителей, прибывающих из за границы и других регионов Российской Федерации.  Согласно графика, мобильные группы с привлечением сотрудников полиции и МЧС в населенных пунктах  регулярно проводятся рейды по соблюдению масочного режима и социального дистанцирования в общественных местах.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42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связи с опасностью покидать домовладение одиноким жителям старше 65 лет в связи с коронавирусом,  доставляется гуманитарная помощь, инвалидам бесплатные лекарства.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color w:val="0000FF"/>
          <w:sz w:val="28"/>
          <w:szCs w:val="28"/>
        </w:rPr>
      </w:pPr>
      <w:r>
        <w:rPr>
          <w:rFonts w:hAnsi="Times New Roman" w:cs="Times New Roman" w:asciiTheme="majorAscii"/>
          <w:sz w:val="24"/>
          <w:szCs w:val="24"/>
        </w:rPr>
        <w:t xml:space="preserve"> </w:t>
      </w:r>
      <w:r>
        <w:rPr>
          <w:rFonts w:hAnsi="Times New Roman" w:cs="Times New Roman" w:asciiTheme="majorAscii"/>
          <w:sz w:val="28"/>
          <w:szCs w:val="28"/>
        </w:rPr>
        <w:t>Администрация поселения ве</w:t>
      </w:r>
      <w:r>
        <w:rPr>
          <w:rFonts w:hAnsi="Times New Roman" w:cs="Times New Roman" w:asciiTheme="majorAscii"/>
          <w:sz w:val="28"/>
          <w:szCs w:val="28"/>
          <w:lang w:val="ru-RU"/>
        </w:rPr>
        <w:t>дет</w:t>
      </w:r>
      <w:r>
        <w:rPr>
          <w:rFonts w:hAnsi="Times New Roman" w:cs="Times New Roman" w:asciiTheme="majorAscii"/>
          <w:sz w:val="28"/>
          <w:szCs w:val="28"/>
        </w:rPr>
        <w:t xml:space="preserve"> работу в постоянном контакте с Собранием  депутатов нашего поселения . Планы работы, основаны на наказах избирателей нашим депутатам. За</w:t>
      </w:r>
      <w:r>
        <w:rPr>
          <w:rFonts w:hint="default" w:hAnsi="Times New Roman" w:cs="Times New Roman" w:asciiTheme="majorAscii"/>
          <w:sz w:val="28"/>
          <w:szCs w:val="28"/>
          <w:lang w:val="ru-RU"/>
        </w:rPr>
        <w:t xml:space="preserve"> </w:t>
      </w:r>
      <w:r>
        <w:rPr>
          <w:rFonts w:hAnsi="Times New Roman" w:cs="Times New Roman" w:asciiTheme="majorAscii"/>
          <w:sz w:val="28"/>
          <w:szCs w:val="28"/>
          <w:lang w:val="ru-RU"/>
        </w:rPr>
        <w:t>первое</w:t>
      </w:r>
      <w:r>
        <w:rPr>
          <w:rFonts w:hint="default" w:hAnsi="Times New Roman" w:cs="Times New Roman" w:asciiTheme="majorAscii"/>
          <w:sz w:val="28"/>
          <w:szCs w:val="28"/>
          <w:lang w:val="ru-RU"/>
        </w:rPr>
        <w:t xml:space="preserve"> полуго</w:t>
      </w:r>
      <w:r>
        <w:rPr>
          <w:rFonts w:hAnsi="Times New Roman" w:cs="Times New Roman" w:asciiTheme="majorAscii"/>
          <w:sz w:val="28"/>
          <w:szCs w:val="28"/>
        </w:rPr>
        <w:t>д</w:t>
      </w:r>
      <w:r>
        <w:rPr>
          <w:rFonts w:hAnsi="Times New Roman" w:cs="Times New Roman" w:asciiTheme="majorAscii"/>
          <w:sz w:val="28"/>
          <w:szCs w:val="28"/>
          <w:lang w:val="ru-RU"/>
        </w:rPr>
        <w:t>ие</w:t>
      </w:r>
      <w:r>
        <w:rPr>
          <w:rFonts w:hAnsi="Times New Roman" w:cs="Times New Roman" w:asciiTheme="majorAscii"/>
          <w:sz w:val="28"/>
          <w:szCs w:val="28"/>
        </w:rPr>
        <w:t xml:space="preserve"> проведено </w:t>
      </w:r>
      <w:r>
        <w:rPr>
          <w:rFonts w:hint="default" w:hAnsi="Times New Roman" w:cs="Times New Roman" w:asciiTheme="majorAscii"/>
          <w:sz w:val="28"/>
          <w:szCs w:val="28"/>
          <w:lang w:val="ru-RU"/>
        </w:rPr>
        <w:t>4</w:t>
      </w:r>
      <w:r>
        <w:rPr>
          <w:rFonts w:hAnsi="Times New Roman" w:cs="Times New Roman" w:asciiTheme="majorAscii"/>
          <w:sz w:val="28"/>
          <w:szCs w:val="28"/>
          <w:lang w:val="ru-RU"/>
        </w:rPr>
        <w:t xml:space="preserve"> </w:t>
      </w:r>
      <w:r>
        <w:rPr>
          <w:rFonts w:hAnsi="Times New Roman" w:cs="Times New Roman" w:asciiTheme="majorAscii"/>
          <w:sz w:val="28"/>
          <w:szCs w:val="28"/>
        </w:rPr>
        <w:t>собрани</w:t>
      </w:r>
      <w:r>
        <w:rPr>
          <w:rFonts w:hAnsi="Times New Roman" w:cs="Times New Roman" w:asciiTheme="majorAscii"/>
          <w:sz w:val="28"/>
          <w:szCs w:val="28"/>
          <w:lang w:val="ru-RU"/>
        </w:rPr>
        <w:t>я</w:t>
      </w:r>
      <w:r>
        <w:rPr>
          <w:rFonts w:hAnsi="Times New Roman" w:cs="Times New Roman" w:asciiTheme="majorAscii"/>
          <w:sz w:val="28"/>
          <w:szCs w:val="28"/>
        </w:rPr>
        <w:t xml:space="preserve"> депутатов, на которых рассмотрено масса вопросов по исполнению наших полномочий и  принято по ним </w:t>
      </w:r>
      <w:r>
        <w:rPr>
          <w:rFonts w:hint="default" w:hAnsi="Times New Roman" w:cs="Times New Roman" w:asciiTheme="majorAscii"/>
          <w:sz w:val="28"/>
          <w:szCs w:val="28"/>
          <w:lang w:val="ru-RU"/>
        </w:rPr>
        <w:t>1</w:t>
      </w:r>
      <w:r>
        <w:rPr>
          <w:rFonts w:hAnsi="Times New Roman" w:cs="Times New Roman" w:asciiTheme="majorAscii"/>
          <w:sz w:val="28"/>
          <w:szCs w:val="28"/>
          <w:lang w:val="ru-RU"/>
        </w:rPr>
        <w:t>4</w:t>
      </w:r>
      <w:r>
        <w:rPr>
          <w:rFonts w:hAnsi="Times New Roman" w:cs="Times New Roman" w:asciiTheme="majorAscii"/>
          <w:sz w:val="28"/>
          <w:szCs w:val="28"/>
        </w:rPr>
        <w:t xml:space="preserve"> решени</w:t>
      </w:r>
      <w:r>
        <w:rPr>
          <w:rFonts w:hAnsi="Times New Roman" w:cs="Times New Roman" w:asciiTheme="majorAscii"/>
          <w:sz w:val="28"/>
          <w:szCs w:val="28"/>
          <w:lang w:val="ru-RU"/>
        </w:rPr>
        <w:t>й</w:t>
      </w:r>
      <w:r>
        <w:rPr>
          <w:rFonts w:hAnsi="Times New Roman" w:cs="Times New Roman" w:asciiTheme="majorAscii"/>
          <w:sz w:val="28"/>
          <w:szCs w:val="28"/>
        </w:rPr>
        <w:t xml:space="preserve">.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  Администрацией поселения, начиная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hint="default" w:ascii="Times New Roman" w:hAnsi="Times New Roman" w:cs="Times New Roman"/>
          <w:sz w:val="28"/>
          <w:szCs w:val="28"/>
        </w:rPr>
        <w:t xml:space="preserve"> текущего года и по настоящее время, проводится работа по разъяснению гражданам необходимости регистрации права собственности на земельные участки – пастбища, которые были переданы им в общую долевую собственность сельскохозяйственными предприятиями при распределении земель сельскохозяйственного назначения.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Согласно выписок, запрошенных из Единого государственного реестра недвижимости, составлен список физических лиц, которые зарегистрировали право общей долевой собственности на земельные доли. Количество земельных долей, на которые зарегистрировано право собственности составило: 460 долей в границах землепользования реорганизованного колхоза  «Правда»,  317  долей в границах землепользования реорганизованного совхоза  «Морозовский», 311 долей в границах землепользования реорганизованного колхоза «Атоммашевец»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Невостребованными остаются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 xml:space="preserve">  дол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колхозу «Правда»,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долей по совхозу «Морозовский»,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доли по  колхозу «Атоммашевец».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сельского поселения ведутся похозяйственные книги. Ведение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рамках благоустройства была проведена работа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побелке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деревьев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населенных пунктах и прилегающих дорог к населенному пункту, </w:t>
      </w:r>
      <w:r>
        <w:rPr>
          <w:rFonts w:hint="default" w:ascii="Times New Roman" w:hAnsi="Times New Roman" w:cs="Times New Roman"/>
          <w:sz w:val="28"/>
          <w:szCs w:val="28"/>
        </w:rPr>
        <w:t>проведен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субботники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 территории Парамоновского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оформлены шесть земельных участков под кладбищами и один земельный участок для размещения на нем детской площадки.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Улицы всех населенных пунктов освещены в темное время суток.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Несколько слов о содержании мест захоронения. У нас на территории расположено 6 кладбищ,  на всех кладбищах наведен порядок, вывезен мусор и старые венки, проводилась обработка от клещей, завезен в достаточном количестве песок, поправлено ограждение</w:t>
      </w:r>
      <w:r>
        <w:rPr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 же оборудованы места складирования мусора.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течении всего времени ведется регулярная работа по вырубке кустарника и  спилу деревьев представляющих угрозу жизни и здоровью людей.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eastAsia="FreeSans" w:cs="Times New Roman"/>
          <w:sz w:val="28"/>
          <w:szCs w:val="28"/>
        </w:rPr>
      </w:pPr>
      <w:r>
        <w:rPr>
          <w:rFonts w:ascii="Times New Roman" w:hAnsi="Times New Roman" w:eastAsia="FreeSans" w:cs="Times New Roman"/>
          <w:sz w:val="28"/>
          <w:szCs w:val="28"/>
        </w:rPr>
        <w:t xml:space="preserve">   Основной вид деятельности в сельском 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>поселении - сельское хозяйство, и его главная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 xml:space="preserve">часть – растениеводство. Общая 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>площадь поселения составляет 29 039,7 га, из них на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>долю пашни приходится 19 132 га. Получением продукции растениеводства занимаются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 xml:space="preserve">2 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 xml:space="preserve">крупных сельхозпроизводителя 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 xml:space="preserve"> и параллельно с </w:t>
      </w:r>
      <w:r>
        <w:rPr>
          <w:rFonts w:eastAsia="FreeSans"/>
          <w:szCs w:val="28"/>
        </w:rPr>
        <w:t xml:space="preserve"> </w:t>
      </w:r>
      <w:r>
        <w:rPr>
          <w:rFonts w:ascii="Times New Roman" w:hAnsi="Times New Roman" w:eastAsia="FreeSans" w:cs="Times New Roman"/>
          <w:sz w:val="28"/>
          <w:szCs w:val="28"/>
        </w:rPr>
        <w:t>ними 1</w:t>
      </w:r>
      <w:r>
        <w:rPr>
          <w:rFonts w:hint="default" w:ascii="Times New Roman" w:hAnsi="Times New Roman" w:eastAsia="FreeSans" w:cs="Times New Roman"/>
          <w:sz w:val="28"/>
          <w:szCs w:val="28"/>
          <w:lang w:val="ru-RU"/>
        </w:rPr>
        <w:t>1</w:t>
      </w:r>
      <w:r>
        <w:rPr>
          <w:rFonts w:ascii="Times New Roman" w:hAnsi="Times New Roman" w:eastAsia="FreeSans" w:cs="Times New Roman"/>
          <w:sz w:val="28"/>
          <w:szCs w:val="28"/>
        </w:rPr>
        <w:t xml:space="preserve"> фермерских хозяйств ИП.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Парамоновского сельского поселения ведется  активная работа в области обеспечения пожарной безопасности. На информационных стендах  регулярно размещается информация о запрете выжигания сухой растительности, разжигания костров. В целях пожарной безопасности проводится опашка населенных пунктов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постоянная работа с добровольной пожарной дружиной. Силами добровольной пожарной дружины патрулируется территория поселения, задача ДПД локализация пожара до приезда пожарных с привлечением ранцевых огнетушителей, мотопомп.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х. Старопетровском, х. Великанов, ст. Чертковская, х. Парамонов проверяется работа системы оповещения населения, для этих целей служит громкоговоритель типа « Мегафон».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Доходы бюджета Парамоновского сельского поселения в первом полугодии 2021 году составили 4 515,4 тыс. рублей, в том числе: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собственные доходы – 1 051,8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дотация на выравнивание бюджетной обеспеченности – 3 423,9 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субвенции – 40,0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При формировании бюджета в 2021 году были предусмотрены расходы 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благоустройство территории;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-обеспечивалось своевременное направление средств на оплату заработной платы с начислениями работникам муниципальных учреждений.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Расходы бюджета поселения в  первом полугодии 2021 году составили -5 014,4 тыс. рублей: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Содержание органов местного самоуправления - 1 948,0 тыс. рублей;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 выборов депутатов Собрания депутатов Парамоновского  сельского поселения пятого созыва 293,2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Мероприятия по коммунальному хозяйству составили 6,8 тыс. рублей 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газопроводов.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Затраты на благоустройство нашего поселения в первом полугодии 2021 года составили 626,8 тыс. рублей., в том числе: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- оплата уличного освещения 72,4 тыс. рублей;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- содержание мест захоронения (кладбищ) – 105,9 тыс. рублей;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- аккарицидная обработка – 18,9 тыс. рублей;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- оплата на изготовление детской площадки (30%) -80,3 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-приобретение хоз. материалов (перчатки, известь, мусорные пакеты и др.), используемых на уборке территории поселения – 30,1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-текущий ремонт уличного освещения – 68,6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-прочие расходы на благоустройство территории сельского  поселения -  250,6 тыс. рублей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Затраты на культуру составили  - 2 269,0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Спорт – 124,3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Бюджетная политика в сфере расходов бюджета Парамоновского сельского поселения была направлена на решение первоочередных социально-значимых расходов.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Администрации поселения действует Координационный совет по вопросам собираемости налогов, который ведет работу с налогоплательщиками имеющие задолженность по налогам.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FreeSans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91D91"/>
    <w:rsid w:val="3A63244E"/>
    <w:rsid w:val="3C9D7003"/>
    <w:rsid w:val="65323929"/>
    <w:rsid w:val="65E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2021-02-18T06:45:00Z</dcterms:created>
  <dc:creator>Пользователь</dc:creator>
  <cp:lastModifiedBy>Пользователь</cp:lastModifiedBy>
  <dcterms:modified xsi:type="dcterms:W3CDTF">2021-07-05T11:19:30Z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