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3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095"/>
        <w:gridCol w:w="567"/>
        <w:gridCol w:w="127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</w:tcPr>
          <w:p/>
        </w:tc>
        <w:tc>
          <w:tcPr>
            <w:tcW w:w="6095" w:type="dxa"/>
          </w:tcPr>
          <w:p>
            <w:pPr>
              <w:pStyle w:val="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МОРОЗОВСКИЙ РАЙОН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ПАРАМОНОВСКО</w:t>
            </w:r>
            <w:r>
              <w:rPr>
                <w:sz w:val="28"/>
                <w:szCs w:val="28"/>
              </w:rPr>
              <w:t xml:space="preserve">ГО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/>
        </w:tc>
        <w:tc>
          <w:tcPr>
            <w:tcW w:w="1276" w:type="dxa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150" w:type="dxa"/>
            <w:gridSpan w:val="2"/>
          </w:tcPr>
          <w:p>
            <w:pPr>
              <w:rPr>
                <w:sz w:val="28"/>
                <w:u w:val="single"/>
              </w:rPr>
            </w:pPr>
            <w:r>
              <w:rPr>
                <w:rFonts w:hint="default"/>
                <w:sz w:val="28"/>
                <w:u w:val="single"/>
                <w:lang w:val="ru-RU"/>
              </w:rPr>
              <w:t>08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  <w:lang w:val="ru-RU"/>
              </w:rPr>
              <w:t>апреля</w:t>
            </w:r>
            <w:r>
              <w:rPr>
                <w:sz w:val="28"/>
                <w:u w:val="single"/>
              </w:rPr>
              <w:t xml:space="preserve"> 2022 года</w:t>
            </w:r>
          </w:p>
        </w:tc>
        <w:tc>
          <w:tcPr>
            <w:tcW w:w="1843" w:type="dxa"/>
            <w:gridSpan w:val="2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>
              <w:rPr>
                <w:rFonts w:hint="default"/>
                <w:sz w:val="28"/>
                <w:u w:val="single"/>
                <w:lang w:val="ru-RU"/>
              </w:rPr>
              <w:t>12</w:t>
            </w:r>
            <w:r>
              <w:rPr>
                <w:sz w:val="28"/>
                <w:u w:val="single"/>
              </w:rPr>
              <w:t xml:space="preserve">       </w:t>
            </w:r>
          </w:p>
        </w:tc>
      </w:tr>
    </w:tbl>
    <w:p>
      <w:pPr>
        <w:spacing w:line="100" w:lineRule="atLeast"/>
        <w:jc w:val="both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Об утверждении</w:t>
            </w:r>
            <w:r>
              <w:rPr>
                <w:color w:val="181818"/>
              </w:rPr>
              <w:t xml:space="preserve"> </w:t>
            </w:r>
            <w:r>
              <w:rPr>
                <w:color w:val="181818"/>
                <w:sz w:val="28"/>
                <w:szCs w:val="28"/>
              </w:rPr>
              <w:t>программы профилактики нарушений обязательных требований в сфере муниципального жилищного контроля в 2022 году</w:t>
            </w:r>
          </w:p>
          <w:p>
            <w:pPr>
              <w:jc w:val="center"/>
              <w:rPr>
                <w:color w:val="181818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color w:val="181818"/>
              </w:rPr>
            </w:pPr>
          </w:p>
        </w:tc>
      </w:tr>
    </w:tbl>
    <w:p>
      <w:pPr>
        <w:jc w:val="center"/>
        <w:rPr>
          <w:color w:val="181818"/>
          <w:sz w:val="22"/>
          <w:szCs w:val="22"/>
        </w:rPr>
      </w:pPr>
    </w:p>
    <w:p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pacing w:val="-1"/>
          <w:sz w:val="28"/>
          <w:szCs w:val="28"/>
        </w:rPr>
        <w:t>В соответствии с требованиями статьи 44 Федерального закона от 31.07.2020  № 248-ФЗ "О государственном контроле (надзоре) и муниципальном контроле в Российской Федерации",</w:t>
      </w:r>
      <w:r>
        <w:rPr>
          <w:color w:val="181818"/>
          <w:sz w:val="28"/>
          <w:szCs w:val="28"/>
        </w:rPr>
        <w:t xml:space="preserve"> </w:t>
      </w:r>
    </w:p>
    <w:p>
      <w:pPr>
        <w:ind w:firstLine="708"/>
        <w:jc w:val="both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ПОСТАНОВЛЯЮ:</w:t>
      </w:r>
    </w:p>
    <w:p>
      <w:pPr>
        <w:jc w:val="center"/>
        <w:rPr>
          <w:b/>
          <w:color w:val="181818"/>
          <w:sz w:val="28"/>
          <w:szCs w:val="28"/>
        </w:rPr>
      </w:pPr>
    </w:p>
    <w:p>
      <w:pPr>
        <w:pStyle w:val="10"/>
        <w:numPr>
          <w:ilvl w:val="0"/>
          <w:numId w:val="1"/>
        </w:numPr>
        <w:ind w:left="0" w:firstLine="709"/>
        <w:jc w:val="both"/>
        <w:rPr>
          <w:b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Утвердить программу профилактики нарушений обязательных требований в сфере муниципального жилищного контроля в 2022 году, согласно приложению.</w:t>
      </w:r>
    </w:p>
    <w:p>
      <w:pPr>
        <w:pStyle w:val="11"/>
        <w:numPr>
          <w:ilvl w:val="0"/>
          <w:numId w:val="1"/>
        </w:numPr>
        <w:ind w:left="0" w:firstLine="70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 Администрации </w:t>
      </w:r>
      <w:r>
        <w:rPr>
          <w:color w:val="181818"/>
          <w:sz w:val="28"/>
          <w:szCs w:val="28"/>
          <w:lang w:val="ru-RU"/>
        </w:rPr>
        <w:t>Парамонов</w:t>
      </w:r>
      <w:r>
        <w:rPr>
          <w:color w:val="181818"/>
          <w:sz w:val="28"/>
          <w:szCs w:val="28"/>
        </w:rPr>
        <w:t>ского сельского поселения.</w:t>
      </w:r>
    </w:p>
    <w:p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ind w:left="705"/>
      </w:pPr>
    </w:p>
    <w:p>
      <w:pPr>
        <w:ind w:left="705"/>
      </w:pPr>
    </w:p>
    <w:p/>
    <w:p/>
    <w:p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 Администрации  </w:t>
      </w:r>
    </w:p>
    <w:p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Парамонов</w:t>
      </w:r>
      <w:r>
        <w:rPr>
          <w:sz w:val="28"/>
          <w:szCs w:val="28"/>
        </w:rPr>
        <w:t xml:space="preserve">ского сельского поселения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.В.Павлов</w:t>
      </w:r>
    </w:p>
    <w:p>
      <w:pPr>
        <w:rPr>
          <w:b/>
          <w:color w:val="181818"/>
          <w:sz w:val="28"/>
          <w:szCs w:val="28"/>
        </w:rPr>
      </w:pPr>
    </w:p>
    <w:p>
      <w:pPr>
        <w:jc w:val="both"/>
        <w:rPr>
          <w:b/>
          <w:color w:val="181818"/>
          <w:sz w:val="28"/>
          <w:szCs w:val="28"/>
        </w:rPr>
      </w:pPr>
    </w:p>
    <w:p>
      <w:pPr>
        <w:rPr>
          <w:color w:val="181818"/>
          <w:sz w:val="28"/>
          <w:szCs w:val="28"/>
        </w:rPr>
      </w:pPr>
    </w:p>
    <w:p>
      <w:pPr>
        <w:rPr>
          <w:color w:val="181818"/>
          <w:sz w:val="28"/>
          <w:szCs w:val="28"/>
        </w:rPr>
      </w:pPr>
    </w:p>
    <w:p>
      <w:pPr>
        <w:tabs>
          <w:tab w:val="left" w:pos="7240"/>
        </w:tabs>
        <w:jc w:val="both"/>
        <w:rPr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                        </w:t>
      </w:r>
    </w:p>
    <w:p>
      <w:pPr>
        <w:sectPr>
          <w:pgSz w:w="11900" w:h="16820"/>
          <w:pgMar w:top="1134" w:right="567" w:bottom="1134" w:left="1701" w:header="720" w:footer="720" w:gutter="0"/>
          <w:cols w:space="720" w:num="1"/>
          <w:docGrid w:linePitch="381" w:charSpace="0"/>
        </w:sectPr>
      </w:pPr>
    </w:p>
    <w:p>
      <w:pPr>
        <w:rPr>
          <w:color w:val="181818"/>
          <w:sz w:val="28"/>
          <w:szCs w:val="28"/>
        </w:rPr>
      </w:pPr>
    </w:p>
    <w:p>
      <w:pPr>
        <w:pStyle w:val="15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 1</w:t>
      </w:r>
    </w:p>
    <w:p>
      <w:pPr>
        <w:pStyle w:val="15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постановлению </w:t>
      </w:r>
    </w:p>
    <w:p>
      <w:pPr>
        <w:pStyle w:val="15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Администрации  </w:t>
      </w:r>
      <w:r>
        <w:rPr>
          <w:rFonts w:ascii="Times New Roman" w:hAnsi="Times New Roman" w:cs="Times New Roman"/>
          <w:sz w:val="24"/>
          <w:szCs w:val="24"/>
          <w:lang w:val="ru-RU"/>
        </w:rPr>
        <w:t>Парамонов</w:t>
      </w:r>
      <w:r>
        <w:rPr>
          <w:rFonts w:ascii="Times New Roman" w:hAnsi="Times New Roman" w:cs="Times New Roman"/>
          <w:sz w:val="24"/>
          <w:szCs w:val="24"/>
        </w:rPr>
        <w:t xml:space="preserve">ского                         </w:t>
      </w:r>
    </w:p>
    <w:p>
      <w:pPr>
        <w:pStyle w:val="15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сельского поселения</w:t>
      </w:r>
    </w:p>
    <w:p>
      <w:pPr>
        <w:pStyle w:val="15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.2022г.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>
      <w:pPr>
        <w:pStyle w:val="15"/>
        <w:widowControl/>
        <w:spacing w:after="10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3"/>
        <w:contextualSpacing/>
        <w:jc w:val="center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b/>
          <w:bCs/>
          <w:color w:val="181818"/>
        </w:rPr>
        <w:t xml:space="preserve">ПРОГРАММА </w:t>
      </w:r>
    </w:p>
    <w:p>
      <w:pPr>
        <w:pStyle w:val="13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профилактики рисков причинения вреда (ущерба) </w:t>
      </w:r>
    </w:p>
    <w:p>
      <w:pPr>
        <w:pStyle w:val="13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>
      <w:pPr>
        <w:pStyle w:val="13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2022 год</w:t>
      </w:r>
    </w:p>
    <w:p>
      <w:pPr>
        <w:jc w:val="center"/>
        <w:rPr>
          <w:b/>
          <w:color w:val="181818"/>
          <w:sz w:val="28"/>
          <w:szCs w:val="28"/>
        </w:rPr>
      </w:pPr>
    </w:p>
    <w:p>
      <w:pPr>
        <w:spacing w:before="14"/>
        <w:ind w:left="1180" w:firstLine="182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Паспор</w:t>
      </w:r>
      <w:r>
        <w:rPr>
          <w:color w:val="181818"/>
          <w:spacing w:val="90"/>
          <w:sz w:val="28"/>
          <w:szCs w:val="28"/>
        </w:rPr>
        <w:t xml:space="preserve">т </w:t>
      </w:r>
      <w:r>
        <w:rPr>
          <w:color w:val="181818"/>
          <w:sz w:val="28"/>
          <w:szCs w:val="28"/>
        </w:rPr>
        <w:t>программы</w:t>
      </w:r>
    </w:p>
    <w:p>
      <w:pPr>
        <w:spacing w:before="14"/>
        <w:ind w:left="1180" w:firstLine="1829"/>
        <w:rPr>
          <w:color w:val="181818"/>
        </w:rPr>
      </w:pPr>
    </w:p>
    <w:tbl>
      <w:tblPr>
        <w:tblStyle w:val="4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691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Наименование программы</w:t>
            </w:r>
          </w:p>
        </w:tc>
        <w:tc>
          <w:tcPr>
            <w:tcW w:w="6914" w:type="dxa"/>
          </w:tcPr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</w:tcPr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color w:val="181818"/>
              </w:rPr>
              <w:t>Федеральный зако</w:t>
            </w:r>
            <w:r>
              <w:rPr>
                <w:color w:val="181818"/>
                <w:spacing w:val="345"/>
              </w:rPr>
              <w:t>н</w:t>
            </w:r>
            <w:r>
              <w:rPr>
                <w:color w:val="181818"/>
              </w:rPr>
              <w:t>о</w:t>
            </w:r>
            <w:r>
              <w:rPr>
                <w:color w:val="181818"/>
                <w:spacing w:val="345"/>
              </w:rPr>
              <w:t>т</w:t>
            </w:r>
            <w:r>
              <w:rPr>
                <w:color w:val="181818"/>
              </w:rPr>
              <w:t>31.07.202</w:t>
            </w:r>
            <w:r>
              <w:rPr>
                <w:color w:val="181818"/>
                <w:spacing w:val="345"/>
              </w:rPr>
              <w:t>0</w:t>
            </w:r>
            <w:r>
              <w:rPr>
                <w:color w:val="181818"/>
              </w:rPr>
              <w:t>№ 248-Ф</w:t>
            </w:r>
            <w:r>
              <w:rPr>
                <w:color w:val="181818"/>
                <w:spacing w:val="345"/>
              </w:rPr>
              <w:t>З</w:t>
            </w:r>
            <w:r>
              <w:rPr>
                <w:color w:val="181818"/>
              </w:rPr>
              <w:t>«О государственно</w:t>
            </w:r>
            <w:r>
              <w:rPr>
                <w:color w:val="181818"/>
                <w:spacing w:val="67"/>
              </w:rPr>
              <w:t>м</w:t>
            </w:r>
            <w:r>
              <w:rPr>
                <w:color w:val="181818"/>
              </w:rPr>
              <w:t>контрол</w:t>
            </w:r>
            <w:r>
              <w:rPr>
                <w:color w:val="181818"/>
                <w:spacing w:val="67"/>
              </w:rPr>
              <w:t>е</w:t>
            </w:r>
            <w:r>
              <w:rPr>
                <w:color w:val="181818"/>
              </w:rPr>
              <w:t>(надзоре</w:t>
            </w:r>
            <w:r>
              <w:rPr>
                <w:color w:val="181818"/>
                <w:spacing w:val="67"/>
              </w:rPr>
              <w:t>)и</w:t>
            </w:r>
            <w:r>
              <w:rPr>
                <w:color w:val="181818"/>
              </w:rPr>
              <w:t>муниципально</w:t>
            </w:r>
            <w:r>
              <w:rPr>
                <w:color w:val="181818"/>
                <w:spacing w:val="67"/>
              </w:rPr>
              <w:t>м</w:t>
            </w:r>
            <w:r>
              <w:rPr>
                <w:color w:val="181818"/>
              </w:rPr>
              <w:t xml:space="preserve">контроле </w:t>
            </w:r>
            <w:r>
              <w:rPr>
                <w:color w:val="181818"/>
                <w:spacing w:val="60"/>
              </w:rPr>
              <w:t>в</w:t>
            </w:r>
            <w:r>
              <w:rPr>
                <w:color w:val="181818"/>
              </w:rPr>
              <w:t>Российско</w:t>
            </w:r>
            <w:r>
              <w:rPr>
                <w:color w:val="181818"/>
                <w:spacing w:val="60"/>
              </w:rPr>
              <w:t>й</w:t>
            </w:r>
            <w:r>
              <w:rPr>
                <w:color w:val="181818"/>
              </w:rPr>
              <w:t xml:space="preserve">Федерации, </w:t>
            </w:r>
            <w:r>
              <w:rPr>
                <w:color w:val="181818"/>
                <w:shd w:val="clear" w:color="auto" w:fill="FFFFFF"/>
              </w:rPr>
              <w:t>Федеральный закон от 11.06.2021</w:t>
            </w:r>
            <w:r>
              <w:rPr>
                <w:color w:val="181818"/>
                <w:shd w:val="clear" w:color="auto" w:fill="FFFFFF"/>
              </w:rPr>
              <w:br w:type="textWrapping"/>
            </w:r>
            <w:r>
              <w:rPr>
                <w:color w:val="181818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Разработчик программы</w:t>
            </w:r>
          </w:p>
        </w:tc>
        <w:tc>
          <w:tcPr>
            <w:tcW w:w="6914" w:type="dxa"/>
          </w:tcPr>
          <w:p>
            <w:pPr>
              <w:contextualSpacing/>
              <w:jc w:val="both"/>
              <w:rPr>
                <w:color w:val="181818"/>
              </w:rPr>
            </w:pPr>
            <w:r>
              <w:rPr>
                <w:color w:val="181818"/>
              </w:rPr>
              <w:t>Администрация</w:t>
            </w:r>
            <w:r>
              <w:rPr>
                <w:rFonts w:hint="default"/>
                <w:color w:val="181818"/>
                <w:lang w:val="ru-RU"/>
              </w:rPr>
              <w:t xml:space="preserve"> Парамонов</w:t>
            </w:r>
            <w:r>
              <w:rPr>
                <w:color w:val="181818"/>
              </w:rPr>
              <w:t>ского сельского поселения</w:t>
            </w:r>
          </w:p>
          <w:p>
            <w:pPr>
              <w:contextualSpacing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(далее – Администрация)</w:t>
            </w:r>
          </w:p>
          <w:p>
            <w:pPr>
              <w:contextualSpacing/>
              <w:jc w:val="both"/>
              <w:rPr>
                <w:color w:val="1818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Цель программы</w:t>
            </w:r>
          </w:p>
        </w:tc>
        <w:tc>
          <w:tcPr>
            <w:tcW w:w="6914" w:type="dxa"/>
          </w:tcPr>
          <w:p>
            <w: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>
            <w:r>
              <w:t>2. Повышение эффективности защиты прав граждан.</w:t>
            </w:r>
          </w:p>
          <w:p>
            <w: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Задачи программы</w:t>
            </w:r>
          </w:p>
        </w:tc>
        <w:tc>
          <w:tcPr>
            <w:tcW w:w="6914" w:type="dxa"/>
          </w:tcPr>
          <w:p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1. Предотвращение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рисков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причинения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вреда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охраняемым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законом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ценностям. </w:t>
            </w:r>
          </w:p>
          <w:p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2. Проведение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профилактических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мероприятий,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направленных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предотвращение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причинения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вреда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охраняемым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законом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ценностям. </w:t>
            </w:r>
          </w:p>
          <w:p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3. Информирование,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консультирование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контролируемых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лиц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с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использованием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информационно-телекоммуникационных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технологий. </w:t>
            </w:r>
          </w:p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color w:val="181818"/>
              </w:rPr>
              <w:t>4. Обеспечение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доступности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информации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обязательных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требованиях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необходимых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мерах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по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исполнению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</w:tcPr>
          <w:p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2022 год</w:t>
            </w:r>
          </w:p>
          <w:p>
            <w:pPr>
              <w:tabs>
                <w:tab w:val="left" w:pos="1535"/>
              </w:tabs>
              <w:rPr>
                <w:color w:val="181818"/>
              </w:rPr>
            </w:pPr>
          </w:p>
          <w:p>
            <w:pPr>
              <w:tabs>
                <w:tab w:val="left" w:pos="1535"/>
              </w:tabs>
              <w:rPr>
                <w:color w:val="181818"/>
              </w:rPr>
            </w:pPr>
          </w:p>
          <w:p>
            <w:pPr>
              <w:tabs>
                <w:tab w:val="left" w:pos="1535"/>
              </w:tabs>
              <w:rPr>
                <w:color w:val="1818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1535"/>
              </w:tabs>
              <w:ind w:right="-229"/>
              <w:rPr>
                <w:color w:val="181818"/>
              </w:rPr>
            </w:pPr>
            <w:r>
              <w:rPr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</w:tcPr>
          <w:p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1.Увеличение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числа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контролируемых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лиц,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соблюдающих </w:t>
            </w:r>
            <w:r>
              <w:rPr>
                <w:color w:val="181818"/>
              </w:rPr>
              <w:t>п</w:t>
            </w:r>
            <w:r>
              <w:rPr>
                <w:rFonts w:eastAsia="Calibri"/>
                <w:color w:val="181818"/>
              </w:rPr>
              <w:t>ри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осуществлении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деятельности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обязательные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требования </w:t>
            </w:r>
            <w:r>
              <w:rPr>
                <w:color w:val="181818"/>
              </w:rPr>
              <w:t xml:space="preserve">жилищного законодательства, </w:t>
            </w:r>
            <w:r>
              <w:rPr>
                <w:rFonts w:eastAsia="Calibri"/>
                <w:color w:val="181818"/>
              </w:rPr>
              <w:t>в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том числе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обеспечением</w:t>
            </w:r>
            <w:r>
              <w:rPr>
                <w:color w:val="181818"/>
              </w:rPr>
              <w:t xml:space="preserve"> надлежащего содержания общего имущества собственников помещений в многоквартирных домах.</w:t>
            </w:r>
          </w:p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color w:val="181818"/>
              </w:rPr>
              <w:t>2.Повышение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качества</w:t>
            </w:r>
            <w:r>
              <w:rPr>
                <w:color w:val="181818"/>
              </w:rPr>
              <w:t xml:space="preserve"> предоставляемых услуг населению.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rPr>
                <w:color w:val="181818"/>
              </w:rPr>
              <w:t>3.</w:t>
            </w:r>
            <w:r>
              <w:rPr>
                <w:rFonts w:eastAsia="Calibri"/>
                <w:lang w:eastAsia="en-US"/>
              </w:rPr>
              <w:t>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>
              <w:t>.</w:t>
            </w:r>
          </w:p>
          <w:p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lang w:eastAsia="en-US"/>
              </w:rPr>
              <w:t>4.Повышение прозрачности системы контрольной деятельности.</w:t>
            </w:r>
          </w:p>
        </w:tc>
      </w:tr>
    </w:tbl>
    <w:p>
      <w:pPr>
        <w:pStyle w:val="9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1. Анализ текущего состояния осуществления муниципального</w:t>
      </w:r>
    </w:p>
    <w:p>
      <w:pPr>
        <w:pStyle w:val="9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жилищного контроля</w:t>
      </w:r>
    </w:p>
    <w:p>
      <w:pPr>
        <w:pStyle w:val="9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>
      <w:pPr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>
      <w:pPr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>
      <w:pPr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организации и проведения мероприятий по профилактике рисков причинения вреда (ущерба) охраняемым законом ценностям;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</w:t>
      </w:r>
      <w:r>
        <w:rPr>
          <w:color w:val="181818"/>
          <w:sz w:val="28"/>
          <w:szCs w:val="28"/>
        </w:rPr>
        <w:t>1.2.  Обзор по виду муниципального контроля.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r>
        <w:rPr>
          <w:color w:val="181818"/>
          <w:sz w:val="28"/>
          <w:szCs w:val="28"/>
          <w:lang w:val="ru-RU"/>
        </w:rPr>
        <w:t>Парамоновс</w:t>
      </w:r>
      <w:r>
        <w:rPr>
          <w:color w:val="181818"/>
          <w:sz w:val="28"/>
          <w:szCs w:val="28"/>
        </w:rPr>
        <w:t xml:space="preserve">кое сельское поселение» 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1.3. Подконтрольные субъекты: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- юридические лица, индивидуальные предприниматели и граждане, осуществляющие эксплуатацию муниципального жилищного фонда.</w:t>
      </w:r>
    </w:p>
    <w:p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1.4. Анализ и оценка рисков причинения вреда охраняемым законом ценностям.</w:t>
      </w:r>
    </w:p>
    <w:p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shd w:val="clear" w:color="auto" w:fill="FFFFFF"/>
        <w:ind w:firstLine="54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>
      <w:pPr>
        <w:ind w:firstLine="709"/>
        <w:contextualSpacing/>
        <w:jc w:val="both"/>
        <w:rPr>
          <w:color w:val="181818"/>
          <w:sz w:val="28"/>
          <w:szCs w:val="28"/>
        </w:rPr>
      </w:pPr>
    </w:p>
    <w:p>
      <w:pPr>
        <w:pStyle w:val="9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2. Характеристика проблем, на решение которых направлена</w:t>
      </w:r>
    </w:p>
    <w:p>
      <w:pPr>
        <w:pStyle w:val="9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программа профилактики</w:t>
      </w:r>
    </w:p>
    <w:p>
      <w:pPr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>
      <w:pPr>
        <w:shd w:val="clear" w:color="auto" w:fill="FFFFFF"/>
        <w:jc w:val="both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ab/>
      </w:r>
    </w:p>
    <w:p>
      <w:pPr>
        <w:contextualSpacing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3. Цели и задачи реализации программы профилактики</w:t>
      </w:r>
    </w:p>
    <w:p>
      <w:pPr>
        <w:contextualSpacing/>
        <w:jc w:val="center"/>
        <w:rPr>
          <w:b/>
          <w:color w:val="181818"/>
          <w:sz w:val="28"/>
          <w:szCs w:val="28"/>
        </w:rPr>
      </w:pPr>
    </w:p>
    <w:p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3.2. Задачами Программы являются: </w:t>
      </w:r>
    </w:p>
    <w:p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>
      <w:pPr>
        <w:ind w:firstLine="709"/>
        <w:contextualSpacing/>
        <w:jc w:val="both"/>
        <w:rPr>
          <w:rFonts w:ascii="PT Astra Serif" w:hAnsi="PT Astra Serif"/>
          <w:color w:val="181818"/>
        </w:rPr>
      </w:pPr>
    </w:p>
    <w:p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4. Перечень профилактических мероприятий, сроки (периодичность) их проведения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243"/>
        <w:gridCol w:w="174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0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  <w:r>
              <w:t>№ п/п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  <w:r>
              <w:t>Наименование</w:t>
            </w:r>
          </w:p>
          <w:p>
            <w:pPr>
              <w:jc w:val="center"/>
            </w:pPr>
            <w:r>
              <w:t>мероприятия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  <w:r>
              <w:t>Срок</w:t>
            </w:r>
          </w:p>
          <w:p>
            <w:pPr>
              <w:jc w:val="center"/>
            </w:pPr>
            <w:r>
              <w:t>исполнения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  <w:r>
              <w:t>Ответственные исполнители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Информирование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1.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 xml:space="preserve">Поддержание в актуальной редакции размещенных на официальном сайте Администрации </w:t>
            </w:r>
            <w:r>
              <w:rPr>
                <w:lang w:val="ru-RU"/>
              </w:rPr>
              <w:t>Парамонов</w:t>
            </w:r>
            <w:bookmarkStart w:id="0" w:name="_GoBack"/>
            <w:bookmarkEnd w:id="0"/>
            <w:r>
              <w:t>ского сельского поселения перечней нормативных правовых актов и их  отдельных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2.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 обязательных требований)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в течение года</w:t>
            </w:r>
          </w:p>
          <w:p>
            <w:pPr>
              <w:jc w:val="both"/>
            </w:pPr>
            <w:r>
              <w:t>(по мере</w:t>
            </w:r>
          </w:p>
          <w:p>
            <w:pPr>
              <w:jc w:val="both"/>
            </w:pPr>
            <w:r>
              <w:t>необходимости)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3.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Информирование подконтрольных субъектов по вопросам соблюдения обязательных требований, в том числе проведения разъяснительной работы в средствах массовой информации и иными способами. 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в течение года, но не менее 2 раз в год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4.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Проведение консультаций с подконтрольными</w:t>
            </w:r>
          </w:p>
          <w:p>
            <w:pPr>
              <w:jc w:val="both"/>
            </w:pPr>
            <w:r>
              <w:t>субъектами по разъяснению обязательных требований, в том числе, разъяснение по вопросам:</w:t>
            </w:r>
          </w:p>
          <w:p>
            <w:pPr>
              <w:autoSpaceDE w:val="0"/>
              <w:autoSpaceDN w:val="0"/>
              <w:adjustRightInd w:val="0"/>
            </w:pPr>
            <w:r>
              <w:t>- осуществления муниципального жилищного контроля;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 xml:space="preserve">-содержания нормативных правовых актов, соблюдение которых оценивается в ходе проверок. 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Способы консультирования: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 xml:space="preserve">по телефону, на личном приеме, в ходе проведения 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контрольно-надзорных и профилактических мероприятий, посредством видео-конференц-связи.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в рабочее время</w:t>
            </w:r>
          </w:p>
          <w:p>
            <w:pPr>
              <w:autoSpaceDE w:val="0"/>
              <w:autoSpaceDN w:val="0"/>
              <w:adjustRightInd w:val="0"/>
            </w:pPr>
            <w:r>
              <w:t>по запросу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Объявление предостережения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5.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Выдача предостережений о недопустимости</w:t>
            </w:r>
          </w:p>
          <w:p>
            <w:pPr>
              <w:jc w:val="both"/>
            </w:pPr>
            <w:r>
              <w:t xml:space="preserve">нарушения обязательных требований в соответствии со статьей 49 Федерального закона № 248-ФЗ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в течение года</w:t>
            </w:r>
          </w:p>
          <w:p>
            <w:pPr>
              <w:jc w:val="both"/>
            </w:pPr>
            <w:r>
              <w:t>(при наличии оснований)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center"/>
            </w:pPr>
            <w:r>
              <w:rPr>
                <w:b/>
              </w:rPr>
              <w:t>Профилактический</w:t>
            </w:r>
            <w:r>
              <w:t xml:space="preserve"> визит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r>
              <w:t>6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По мере необходимости</w:t>
            </w:r>
          </w:p>
          <w:p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</w:tbl>
    <w:p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</w:rPr>
      </w:pP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</w:p>
    <w:p>
      <w:pPr>
        <w:tabs>
          <w:tab w:val="left" w:pos="992"/>
        </w:tabs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5. Показатели результативности и эффективности программы профилактики</w:t>
      </w:r>
    </w:p>
    <w:p>
      <w:pPr>
        <w:tabs>
          <w:tab w:val="left" w:pos="992"/>
        </w:tabs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 xml:space="preserve"> рисков причинения вреда (ущерба)</w:t>
      </w:r>
    </w:p>
    <w:p>
      <w:pPr>
        <w:tabs>
          <w:tab w:val="left" w:pos="992"/>
        </w:tabs>
        <w:jc w:val="center"/>
        <w:rPr>
          <w:rFonts w:ascii="PT Astra Serif" w:hAnsi="PT Astra Serif"/>
          <w:b/>
          <w:color w:val="181818"/>
        </w:rPr>
      </w:pPr>
    </w:p>
    <w:p>
      <w:pPr>
        <w:tabs>
          <w:tab w:val="left" w:pos="992"/>
        </w:tabs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Реализация программы профилактики способствует:</w:t>
      </w:r>
    </w:p>
    <w:p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- развитию системы профилактических мероприятий.</w:t>
      </w:r>
    </w:p>
    <w:p>
      <w:pPr>
        <w:pStyle w:val="12"/>
        <w:widowControl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>
      <w:pPr>
        <w:jc w:val="center"/>
        <w:rPr>
          <w:color w:val="181818"/>
          <w:sz w:val="28"/>
          <w:szCs w:val="28"/>
        </w:rPr>
      </w:pPr>
    </w:p>
    <w:p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438A3"/>
    <w:multiLevelType w:val="multilevel"/>
    <w:tmpl w:val="03B438A3"/>
    <w:lvl w:ilvl="0" w:tentative="0">
      <w:start w:val="1"/>
      <w:numFmt w:val="decimal"/>
      <w:lvlText w:val="%1."/>
      <w:lvlJc w:val="left"/>
      <w:pPr>
        <w:ind w:left="1245" w:hanging="54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433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3CFA"/>
    <w:rsid w:val="003C21A4"/>
    <w:rsid w:val="008C38F8"/>
    <w:rsid w:val="009B3CFA"/>
    <w:rsid w:val="7D1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sz w:val="36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Title"/>
    <w:basedOn w:val="1"/>
    <w:link w:val="18"/>
    <w:qFormat/>
    <w:uiPriority w:val="0"/>
    <w:pPr>
      <w:ind w:left="4111"/>
      <w:jc w:val="center"/>
    </w:pPr>
    <w:rPr>
      <w:rFonts w:asciiTheme="minorHAnsi" w:hAnsiTheme="minorHAnsi" w:eastAsiaTheme="minorHAnsi" w:cstheme="minorBidi"/>
      <w:szCs w:val="22"/>
      <w:lang w:eastAsia="en-US"/>
    </w:r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customStyle="1" w:styleId="9">
    <w:name w:val="ConsPlusNormal"/>
    <w:link w:val="14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0">
    <w:name w:val="Абзац списка1"/>
    <w:basedOn w:val="1"/>
    <w:uiPriority w:val="0"/>
    <w:pPr>
      <w:ind w:left="720"/>
      <w:contextualSpacing/>
    </w:pPr>
    <w:rPr>
      <w:rFonts w:eastAsia="Calibri"/>
      <w:sz w:val="20"/>
      <w:szCs w:val="20"/>
    </w:rPr>
  </w:style>
  <w:style w:type="paragraph" w:styleId="11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12">
    <w:name w:val="Style2"/>
    <w:basedOn w:val="1"/>
    <w:uiPriority w:val="99"/>
    <w:pPr>
      <w:widowControl w:val="0"/>
      <w:autoSpaceDE w:val="0"/>
      <w:autoSpaceDN w:val="0"/>
      <w:adjustRightInd w:val="0"/>
      <w:spacing w:line="360" w:lineRule="exact"/>
      <w:jc w:val="center"/>
    </w:p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Liberation Serif" w:hAnsi="Liberation Serif" w:eastAsia="Calibri" w:cs="Liberation Serif"/>
      <w:color w:val="000000"/>
      <w:sz w:val="24"/>
      <w:szCs w:val="24"/>
      <w:lang w:val="ru-RU" w:eastAsia="en-US" w:bidi="ar-SA"/>
    </w:rPr>
  </w:style>
  <w:style w:type="character" w:customStyle="1" w:styleId="14">
    <w:name w:val="ConsPlusNormal1"/>
    <w:link w:val="9"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customStyle="1" w:styleId="15">
    <w:name w:val="ConsNormal"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6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7">
    <w:name w:val="Название Знак"/>
    <w:link w:val="6"/>
    <w:locked/>
    <w:uiPriority w:val="0"/>
    <w:rPr>
      <w:sz w:val="24"/>
    </w:rPr>
  </w:style>
  <w:style w:type="character" w:customStyle="1" w:styleId="18">
    <w:name w:val="Название Знак1"/>
    <w:basedOn w:val="3"/>
    <w:link w:val="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1743</Words>
  <Characters>9940</Characters>
  <Lines>82</Lines>
  <Paragraphs>23</Paragraphs>
  <TotalTime>19</TotalTime>
  <ScaleCrop>false</ScaleCrop>
  <LinksUpToDate>false</LinksUpToDate>
  <CharactersWithSpaces>11660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2022-03-10T09:12:00Z</dcterms:created>
  <dc:creator>1</dc:creator>
  <cp:lastModifiedBy>Пользователь</cp:lastModifiedBy>
  <cp:lastPrinted>2022-03-10T09:25:00Z</cp:lastPrinted>
  <dcterms:modified xsi:type="dcterms:W3CDTF">2022-04-12T07:52:16Z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A5B21651B6FC4E81892F14E206EAB8E1</vt:lpwstr>
  </property>
</Properties>
</file>